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517F" w14:textId="77777777" w:rsidR="008D17CF" w:rsidRPr="008D17CF" w:rsidRDefault="008D17CF" w:rsidP="008D17CF">
      <w:pPr>
        <w:spacing w:after="0" w:line="360" w:lineRule="auto"/>
        <w:jc w:val="center"/>
        <w:rPr>
          <w:rFonts w:eastAsia="Times New Roman" w:cs="Times New Roman"/>
          <w:color w:val="000000"/>
          <w:szCs w:val="24"/>
          <w:lang w:eastAsia="es-CO"/>
        </w:rPr>
      </w:pPr>
      <w:r w:rsidRPr="008D17CF">
        <w:rPr>
          <w:rFonts w:eastAsia="Times New Roman" w:cs="Times New Roman"/>
          <w:b/>
          <w:bCs/>
          <w:color w:val="0000FF"/>
          <w:szCs w:val="24"/>
          <w:lang w:eastAsia="es-CO"/>
        </w:rPr>
        <w:t xml:space="preserve">OFICIO </w:t>
      </w:r>
      <w:proofErr w:type="spellStart"/>
      <w:r w:rsidRPr="008D17CF">
        <w:rPr>
          <w:rFonts w:eastAsia="Times New Roman" w:cs="Times New Roman"/>
          <w:b/>
          <w:bCs/>
          <w:color w:val="0000FF"/>
          <w:szCs w:val="24"/>
          <w:lang w:eastAsia="es-CO"/>
        </w:rPr>
        <w:t>N°</w:t>
      </w:r>
      <w:proofErr w:type="spellEnd"/>
      <w:r w:rsidRPr="008D17CF">
        <w:rPr>
          <w:rFonts w:eastAsia="Times New Roman" w:cs="Times New Roman"/>
          <w:b/>
          <w:bCs/>
          <w:color w:val="0000FF"/>
          <w:szCs w:val="24"/>
          <w:lang w:eastAsia="es-CO"/>
        </w:rPr>
        <w:t xml:space="preserve"> 1280 [908199]</w:t>
      </w:r>
    </w:p>
    <w:p w14:paraId="197253EC" w14:textId="77777777" w:rsidR="008D17CF" w:rsidRPr="008D17CF" w:rsidRDefault="008D17CF" w:rsidP="008D17CF">
      <w:pPr>
        <w:spacing w:after="0" w:line="360" w:lineRule="auto"/>
        <w:jc w:val="center"/>
        <w:rPr>
          <w:rFonts w:eastAsia="Times New Roman" w:cs="Times New Roman"/>
          <w:color w:val="000000"/>
          <w:szCs w:val="24"/>
          <w:lang w:eastAsia="es-CO"/>
        </w:rPr>
      </w:pPr>
      <w:r w:rsidRPr="008D17CF">
        <w:rPr>
          <w:rFonts w:eastAsia="Times New Roman" w:cs="Times New Roman"/>
          <w:b/>
          <w:bCs/>
          <w:color w:val="0000FF"/>
          <w:szCs w:val="24"/>
          <w:lang w:eastAsia="es-CO"/>
        </w:rPr>
        <w:t>13-08-2021</w:t>
      </w:r>
    </w:p>
    <w:p w14:paraId="520A55F5" w14:textId="77777777" w:rsidR="008D17CF" w:rsidRPr="008D17CF" w:rsidRDefault="008D17CF" w:rsidP="008D17CF">
      <w:pPr>
        <w:spacing w:after="0" w:line="360" w:lineRule="auto"/>
        <w:jc w:val="center"/>
        <w:rPr>
          <w:rFonts w:eastAsia="Times New Roman" w:cs="Times New Roman"/>
          <w:color w:val="000000"/>
          <w:szCs w:val="24"/>
          <w:lang w:eastAsia="es-CO"/>
        </w:rPr>
      </w:pPr>
      <w:r w:rsidRPr="008D17CF">
        <w:rPr>
          <w:rFonts w:eastAsia="Times New Roman" w:cs="Times New Roman"/>
          <w:b/>
          <w:bCs/>
          <w:color w:val="0000FF"/>
          <w:szCs w:val="24"/>
          <w:lang w:eastAsia="es-CO"/>
        </w:rPr>
        <w:t>DIAN</w:t>
      </w:r>
    </w:p>
    <w:p w14:paraId="71906DF2"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b/>
          <w:bCs/>
          <w:color w:val="0000FF"/>
          <w:szCs w:val="24"/>
          <w:lang w:eastAsia="es-CO"/>
        </w:rPr>
        <w:t> </w:t>
      </w:r>
    </w:p>
    <w:p w14:paraId="4CD6C3DD"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b/>
          <w:bCs/>
          <w:color w:val="0000FF"/>
          <w:szCs w:val="24"/>
          <w:lang w:eastAsia="es-CO"/>
        </w:rPr>
        <w:t> </w:t>
      </w:r>
    </w:p>
    <w:p w14:paraId="6624E54D"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Subdirección de Gestión Normativa y Doctrina</w:t>
      </w:r>
    </w:p>
    <w:p w14:paraId="307DAA05"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100208221-1280</w:t>
      </w:r>
    </w:p>
    <w:p w14:paraId="5FF03CA2"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Bogotá, D.C.</w:t>
      </w:r>
    </w:p>
    <w:p w14:paraId="1E53033F"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 </w:t>
      </w:r>
    </w:p>
    <w:tbl>
      <w:tblPr>
        <w:tblW w:w="0" w:type="auto"/>
        <w:tblCellMar>
          <w:left w:w="0" w:type="dxa"/>
          <w:right w:w="0" w:type="dxa"/>
        </w:tblCellMar>
        <w:tblLook w:val="04A0" w:firstRow="1" w:lastRow="0" w:firstColumn="1" w:lastColumn="0" w:noHBand="0" w:noVBand="1"/>
      </w:tblPr>
      <w:tblGrid>
        <w:gridCol w:w="1969"/>
        <w:gridCol w:w="6049"/>
      </w:tblGrid>
      <w:tr w:rsidR="008D17CF" w:rsidRPr="008D17CF" w14:paraId="7953703D" w14:textId="77777777" w:rsidTr="008D17CF">
        <w:tc>
          <w:tcPr>
            <w:tcW w:w="0" w:type="auto"/>
            <w:tcBorders>
              <w:top w:val="nil"/>
              <w:left w:val="nil"/>
              <w:bottom w:val="nil"/>
              <w:right w:val="nil"/>
            </w:tcBorders>
            <w:shd w:val="clear" w:color="auto" w:fill="auto"/>
            <w:tcMar>
              <w:top w:w="0" w:type="dxa"/>
              <w:left w:w="108" w:type="dxa"/>
              <w:bottom w:w="0" w:type="dxa"/>
              <w:right w:w="108" w:type="dxa"/>
            </w:tcMar>
            <w:hideMark/>
          </w:tcPr>
          <w:p w14:paraId="71B04D0B" w14:textId="77777777" w:rsidR="008D17CF" w:rsidRPr="008D17CF" w:rsidRDefault="008D17CF" w:rsidP="008D17CF">
            <w:pPr>
              <w:spacing w:after="0" w:line="360" w:lineRule="auto"/>
              <w:jc w:val="both"/>
              <w:rPr>
                <w:rFonts w:eastAsia="Times New Roman" w:cs="Times New Roman"/>
                <w:szCs w:val="24"/>
                <w:lang w:eastAsia="es-CO"/>
              </w:rPr>
            </w:pPr>
            <w:r w:rsidRPr="008D17CF">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38891F0" w14:textId="77777777" w:rsidR="008D17CF" w:rsidRPr="008D17CF" w:rsidRDefault="008D17CF" w:rsidP="008D17CF">
            <w:pPr>
              <w:spacing w:after="0" w:line="360" w:lineRule="auto"/>
              <w:jc w:val="both"/>
              <w:rPr>
                <w:rFonts w:eastAsia="Times New Roman" w:cs="Times New Roman"/>
                <w:szCs w:val="24"/>
                <w:lang w:eastAsia="es-CO"/>
              </w:rPr>
            </w:pPr>
            <w:r w:rsidRPr="008D17CF">
              <w:rPr>
                <w:rFonts w:eastAsia="Times New Roman" w:cs="Times New Roman"/>
                <w:szCs w:val="24"/>
                <w:lang w:eastAsia="es-CO"/>
              </w:rPr>
              <w:t>Procedimiento tributario</w:t>
            </w:r>
          </w:p>
        </w:tc>
      </w:tr>
      <w:tr w:rsidR="008D17CF" w:rsidRPr="008D17CF" w14:paraId="4A850B4C" w14:textId="77777777" w:rsidTr="008D17CF">
        <w:tc>
          <w:tcPr>
            <w:tcW w:w="0" w:type="auto"/>
            <w:tcBorders>
              <w:top w:val="nil"/>
              <w:left w:val="nil"/>
              <w:bottom w:val="nil"/>
              <w:right w:val="nil"/>
            </w:tcBorders>
            <w:shd w:val="clear" w:color="auto" w:fill="auto"/>
            <w:tcMar>
              <w:top w:w="0" w:type="dxa"/>
              <w:left w:w="108" w:type="dxa"/>
              <w:bottom w:w="0" w:type="dxa"/>
              <w:right w:w="108" w:type="dxa"/>
            </w:tcMar>
            <w:hideMark/>
          </w:tcPr>
          <w:p w14:paraId="1105BC04" w14:textId="77777777" w:rsidR="008D17CF" w:rsidRPr="008D17CF" w:rsidRDefault="008D17CF" w:rsidP="008D17CF">
            <w:pPr>
              <w:spacing w:after="0" w:line="360" w:lineRule="auto"/>
              <w:jc w:val="both"/>
              <w:rPr>
                <w:rFonts w:eastAsia="Times New Roman" w:cs="Times New Roman"/>
                <w:szCs w:val="24"/>
                <w:lang w:eastAsia="es-CO"/>
              </w:rPr>
            </w:pPr>
            <w:r w:rsidRPr="008D17CF">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40A8FA4" w14:textId="77777777" w:rsidR="008D17CF" w:rsidRPr="008D17CF" w:rsidRDefault="008D17CF" w:rsidP="008D17CF">
            <w:pPr>
              <w:spacing w:after="0" w:line="360" w:lineRule="auto"/>
              <w:jc w:val="both"/>
              <w:rPr>
                <w:rFonts w:eastAsia="Times New Roman" w:cs="Times New Roman"/>
                <w:szCs w:val="24"/>
                <w:lang w:eastAsia="es-CO"/>
              </w:rPr>
            </w:pPr>
            <w:r w:rsidRPr="008D17CF">
              <w:rPr>
                <w:rFonts w:eastAsia="Times New Roman" w:cs="Times New Roman"/>
                <w:szCs w:val="24"/>
                <w:lang w:eastAsia="es-CO"/>
              </w:rPr>
              <w:t>Declaraciones tributarias</w:t>
            </w:r>
          </w:p>
          <w:p w14:paraId="4435442B" w14:textId="77777777" w:rsidR="008D17CF" w:rsidRPr="008D17CF" w:rsidRDefault="008D17CF" w:rsidP="008D17CF">
            <w:pPr>
              <w:spacing w:after="0" w:line="360" w:lineRule="auto"/>
              <w:jc w:val="both"/>
              <w:rPr>
                <w:rFonts w:eastAsia="Times New Roman" w:cs="Times New Roman"/>
                <w:szCs w:val="24"/>
                <w:lang w:eastAsia="es-CO"/>
              </w:rPr>
            </w:pPr>
            <w:r w:rsidRPr="008D17CF">
              <w:rPr>
                <w:rFonts w:eastAsia="Times New Roman" w:cs="Times New Roman"/>
                <w:szCs w:val="24"/>
                <w:lang w:eastAsia="es-CO"/>
              </w:rPr>
              <w:t>Suscripción de las declaraciones tributarias</w:t>
            </w:r>
          </w:p>
        </w:tc>
      </w:tr>
      <w:tr w:rsidR="008D17CF" w:rsidRPr="008D17CF" w14:paraId="4AB92448" w14:textId="77777777" w:rsidTr="008D17CF">
        <w:tc>
          <w:tcPr>
            <w:tcW w:w="0" w:type="auto"/>
            <w:tcBorders>
              <w:top w:val="nil"/>
              <w:left w:val="nil"/>
              <w:bottom w:val="nil"/>
              <w:right w:val="nil"/>
            </w:tcBorders>
            <w:shd w:val="clear" w:color="auto" w:fill="auto"/>
            <w:tcMar>
              <w:top w:w="0" w:type="dxa"/>
              <w:left w:w="108" w:type="dxa"/>
              <w:bottom w:w="0" w:type="dxa"/>
              <w:right w:w="108" w:type="dxa"/>
            </w:tcMar>
            <w:hideMark/>
          </w:tcPr>
          <w:p w14:paraId="6D0F4F1A" w14:textId="77777777" w:rsidR="008D17CF" w:rsidRPr="008D17CF" w:rsidRDefault="008D17CF" w:rsidP="008D17CF">
            <w:pPr>
              <w:spacing w:after="0" w:line="360" w:lineRule="auto"/>
              <w:jc w:val="both"/>
              <w:rPr>
                <w:rFonts w:eastAsia="Times New Roman" w:cs="Times New Roman"/>
                <w:szCs w:val="24"/>
                <w:lang w:eastAsia="es-CO"/>
              </w:rPr>
            </w:pPr>
            <w:r w:rsidRPr="008D17CF">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F5A993E" w14:textId="77777777" w:rsidR="008D17CF" w:rsidRPr="008D17CF" w:rsidRDefault="008D17CF" w:rsidP="008D17CF">
            <w:pPr>
              <w:spacing w:after="0" w:line="360" w:lineRule="auto"/>
              <w:jc w:val="both"/>
              <w:rPr>
                <w:rFonts w:eastAsia="Times New Roman" w:cs="Times New Roman"/>
                <w:szCs w:val="24"/>
                <w:lang w:eastAsia="es-CO"/>
              </w:rPr>
            </w:pPr>
            <w:r w:rsidRPr="008D17CF">
              <w:rPr>
                <w:rFonts w:eastAsia="Times New Roman" w:cs="Times New Roman"/>
                <w:szCs w:val="24"/>
                <w:lang w:eastAsia="es-CO"/>
              </w:rPr>
              <w:t>Artículos </w:t>
            </w:r>
            <w:hyperlink r:id="rId4" w:tooltip="Estatuto Tributario CETA" w:history="1">
              <w:r w:rsidRPr="008D17CF">
                <w:rPr>
                  <w:rFonts w:eastAsia="Times New Roman" w:cs="Times New Roman"/>
                  <w:color w:val="0089E1"/>
                  <w:szCs w:val="24"/>
                  <w:u w:val="single"/>
                  <w:lang w:eastAsia="es-CO"/>
                </w:rPr>
                <w:t>571</w:t>
              </w:r>
            </w:hyperlink>
            <w:r w:rsidRPr="008D17CF">
              <w:rPr>
                <w:rFonts w:eastAsia="Times New Roman" w:cs="Times New Roman"/>
                <w:szCs w:val="24"/>
                <w:lang w:eastAsia="es-CO"/>
              </w:rPr>
              <w:t>, </w:t>
            </w:r>
            <w:hyperlink r:id="rId5" w:tooltip="Estatuto Tributario CETA" w:history="1">
              <w:r w:rsidRPr="008D17CF">
                <w:rPr>
                  <w:rFonts w:eastAsia="Times New Roman" w:cs="Times New Roman"/>
                  <w:color w:val="0089E1"/>
                  <w:szCs w:val="24"/>
                  <w:u w:val="single"/>
                  <w:lang w:eastAsia="es-CO"/>
                </w:rPr>
                <w:t>572</w:t>
              </w:r>
            </w:hyperlink>
            <w:r w:rsidRPr="008D17CF">
              <w:rPr>
                <w:rFonts w:eastAsia="Times New Roman" w:cs="Times New Roman"/>
                <w:szCs w:val="24"/>
                <w:lang w:eastAsia="es-CO"/>
              </w:rPr>
              <w:t> y </w:t>
            </w:r>
            <w:hyperlink r:id="rId6" w:tooltip="Estatuto Tributario CETA" w:history="1">
              <w:r w:rsidRPr="008D17CF">
                <w:rPr>
                  <w:rFonts w:eastAsia="Times New Roman" w:cs="Times New Roman"/>
                  <w:color w:val="0089E1"/>
                  <w:szCs w:val="24"/>
                  <w:u w:val="single"/>
                  <w:lang w:eastAsia="es-CO"/>
                </w:rPr>
                <w:t>572-1</w:t>
              </w:r>
            </w:hyperlink>
            <w:r w:rsidRPr="008D17CF">
              <w:rPr>
                <w:rFonts w:eastAsia="Times New Roman" w:cs="Times New Roman"/>
                <w:szCs w:val="24"/>
                <w:lang w:eastAsia="es-CO"/>
              </w:rPr>
              <w:t> del Estatuto Tributario</w:t>
            </w:r>
          </w:p>
          <w:p w14:paraId="51B5E904" w14:textId="77777777" w:rsidR="008D17CF" w:rsidRPr="008D17CF" w:rsidRDefault="008D17CF" w:rsidP="008D17CF">
            <w:pPr>
              <w:spacing w:after="0" w:line="360" w:lineRule="auto"/>
              <w:jc w:val="both"/>
              <w:rPr>
                <w:rFonts w:eastAsia="Times New Roman" w:cs="Times New Roman"/>
                <w:szCs w:val="24"/>
                <w:lang w:eastAsia="es-CO"/>
              </w:rPr>
            </w:pPr>
            <w:r w:rsidRPr="008D17CF">
              <w:rPr>
                <w:rFonts w:eastAsia="Times New Roman" w:cs="Times New Roman"/>
                <w:szCs w:val="24"/>
                <w:lang w:eastAsia="es-CO"/>
              </w:rPr>
              <w:t>Artículos 1.6.1.2.6. y 1.6.1.13.2.5. del Decreto 1625 de 2016</w:t>
            </w:r>
          </w:p>
        </w:tc>
      </w:tr>
    </w:tbl>
    <w:p w14:paraId="3BB1B23A"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 </w:t>
      </w:r>
    </w:p>
    <w:p w14:paraId="00486D83" w14:textId="01370D63"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Cordial saludo,</w:t>
      </w:r>
    </w:p>
    <w:p w14:paraId="46725778" w14:textId="37638D78"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 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2B927EAC"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 </w:t>
      </w:r>
    </w:p>
    <w:p w14:paraId="2E124B6D"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Mediante el radicado de referencia, el peticionario plantea varias preguntas asociadas al proceso de delegación de la responsabilidad de suscripción y presentación de las declaraciones tributarias a cargo de los representantes, gerentes y administradores de personas jurídicas, por lo que este Despacho resolverá las inquietudes planteadas a partir de la explicación de las normas que regulan dicho procedimiento.</w:t>
      </w:r>
    </w:p>
    <w:p w14:paraId="0EE45E41"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 </w:t>
      </w:r>
    </w:p>
    <w:p w14:paraId="6A00AC4B"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El </w:t>
      </w:r>
      <w:hyperlink r:id="rId7" w:tooltip="Estatuto Tributario CETA" w:history="1">
        <w:r w:rsidRPr="008D17CF">
          <w:rPr>
            <w:rFonts w:eastAsia="Times New Roman" w:cs="Times New Roman"/>
            <w:color w:val="0089E1"/>
            <w:szCs w:val="24"/>
            <w:u w:val="single"/>
            <w:lang w:eastAsia="es-CO"/>
          </w:rPr>
          <w:t>artículo 571</w:t>
        </w:r>
      </w:hyperlink>
      <w:r w:rsidRPr="008D17CF">
        <w:rPr>
          <w:rFonts w:eastAsia="Times New Roman" w:cs="Times New Roman"/>
          <w:color w:val="000000"/>
          <w:szCs w:val="24"/>
          <w:lang w:eastAsia="es-CO"/>
        </w:rPr>
        <w:t> del Estatuto Tributario contempla:</w:t>
      </w:r>
    </w:p>
    <w:p w14:paraId="36DE9A6E" w14:textId="77777777" w:rsidR="008D17CF" w:rsidRPr="008D17CF" w:rsidRDefault="008D17CF" w:rsidP="008D17CF">
      <w:pPr>
        <w:spacing w:after="0" w:line="360" w:lineRule="auto"/>
        <w:ind w:left="180"/>
        <w:jc w:val="both"/>
        <w:rPr>
          <w:rFonts w:eastAsia="Times New Roman" w:cs="Times New Roman"/>
          <w:color w:val="000000"/>
          <w:szCs w:val="24"/>
          <w:lang w:eastAsia="es-CO"/>
        </w:rPr>
      </w:pPr>
      <w:r w:rsidRPr="008D17CF">
        <w:rPr>
          <w:rFonts w:eastAsia="Times New Roman" w:cs="Times New Roman"/>
          <w:b/>
          <w:bCs/>
          <w:i/>
          <w:iCs/>
          <w:color w:val="000000"/>
          <w:szCs w:val="24"/>
          <w:lang w:eastAsia="es-CO"/>
        </w:rPr>
        <w:t> </w:t>
      </w:r>
    </w:p>
    <w:p w14:paraId="14D737FE" w14:textId="77777777" w:rsidR="008D17CF" w:rsidRPr="008D17CF" w:rsidRDefault="008D17CF" w:rsidP="008D17CF">
      <w:pPr>
        <w:spacing w:after="0" w:line="360" w:lineRule="auto"/>
        <w:ind w:left="180"/>
        <w:jc w:val="both"/>
        <w:rPr>
          <w:rFonts w:eastAsia="Times New Roman" w:cs="Times New Roman"/>
          <w:color w:val="000000"/>
          <w:szCs w:val="24"/>
          <w:lang w:eastAsia="es-CO"/>
        </w:rPr>
      </w:pPr>
      <w:r w:rsidRPr="008D17CF">
        <w:rPr>
          <w:rFonts w:eastAsia="Times New Roman" w:cs="Times New Roman"/>
          <w:b/>
          <w:bCs/>
          <w:i/>
          <w:iCs/>
          <w:color w:val="000000"/>
          <w:szCs w:val="24"/>
          <w:lang w:eastAsia="es-CO"/>
        </w:rPr>
        <w:t>“</w:t>
      </w:r>
      <w:hyperlink r:id="rId8" w:tooltip="Estatuto Tributario CETA" w:history="1">
        <w:r w:rsidRPr="008D17CF">
          <w:rPr>
            <w:rFonts w:eastAsia="Times New Roman" w:cs="Times New Roman"/>
            <w:b/>
            <w:bCs/>
            <w:i/>
            <w:iCs/>
            <w:color w:val="0089E1"/>
            <w:szCs w:val="24"/>
            <w:u w:val="single"/>
            <w:lang w:eastAsia="es-CO"/>
          </w:rPr>
          <w:t>Artículo 571</w:t>
        </w:r>
      </w:hyperlink>
      <w:r w:rsidRPr="008D17CF">
        <w:rPr>
          <w:rFonts w:eastAsia="Times New Roman" w:cs="Times New Roman"/>
          <w:b/>
          <w:bCs/>
          <w:i/>
          <w:iCs/>
          <w:color w:val="000000"/>
          <w:szCs w:val="24"/>
          <w:lang w:eastAsia="es-CO"/>
        </w:rPr>
        <w:t>. Obligados a cumplir los deberes formales. </w:t>
      </w:r>
      <w:r w:rsidRPr="008D17CF">
        <w:rPr>
          <w:rFonts w:eastAsia="Times New Roman" w:cs="Times New Roman"/>
          <w:i/>
          <w:iCs/>
          <w:color w:val="000000"/>
          <w:szCs w:val="24"/>
          <w:lang w:eastAsia="es-CO"/>
        </w:rPr>
        <w:t>Los contribuyentes o responsables directos del pago del tributo deberán cumplir los deberes formales señalados en la ley o en el reglamento, personalmente o por medio de sus representantes, y a falta de estos, por el administrador del respectivo patrimonio”.</w:t>
      </w:r>
    </w:p>
    <w:p w14:paraId="1F8BD06F"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 </w:t>
      </w:r>
    </w:p>
    <w:p w14:paraId="51C7FEE6"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De acuerdo con la norma precitada, las obligaciones tributarias formales, como la suscripción y presentación de las declaraciones tributarias, deben ser cumplidas directamente por los contribuyentes obligados a ello o, en su efecto, por medio de sus representantes legales.</w:t>
      </w:r>
    </w:p>
    <w:p w14:paraId="008AAFD3"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 </w:t>
      </w:r>
    </w:p>
    <w:p w14:paraId="6387E533"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lastRenderedPageBreak/>
        <w:t>Por su parte, el </w:t>
      </w:r>
      <w:hyperlink r:id="rId9" w:tooltip="Estatuto Tributario CETA" w:history="1">
        <w:r w:rsidRPr="008D17CF">
          <w:rPr>
            <w:rFonts w:eastAsia="Times New Roman" w:cs="Times New Roman"/>
            <w:color w:val="0089E1"/>
            <w:szCs w:val="24"/>
            <w:u w:val="single"/>
            <w:lang w:eastAsia="es-CO"/>
          </w:rPr>
          <w:t>artículo 572</w:t>
        </w:r>
      </w:hyperlink>
      <w:r w:rsidRPr="008D17CF">
        <w:rPr>
          <w:rFonts w:eastAsia="Times New Roman" w:cs="Times New Roman"/>
          <w:color w:val="000000"/>
          <w:szCs w:val="24"/>
          <w:lang w:eastAsia="es-CO"/>
        </w:rPr>
        <w:t> del Estatuto Tributario dispone:</w:t>
      </w:r>
    </w:p>
    <w:p w14:paraId="6F70D488" w14:textId="77777777" w:rsidR="008D17CF" w:rsidRPr="008D17CF" w:rsidRDefault="008D17CF" w:rsidP="008D17CF">
      <w:pPr>
        <w:spacing w:after="0" w:line="360" w:lineRule="auto"/>
        <w:ind w:left="180"/>
        <w:jc w:val="both"/>
        <w:rPr>
          <w:rFonts w:eastAsia="Times New Roman" w:cs="Times New Roman"/>
          <w:color w:val="000000"/>
          <w:szCs w:val="24"/>
          <w:lang w:eastAsia="es-CO"/>
        </w:rPr>
      </w:pPr>
      <w:r w:rsidRPr="008D17CF">
        <w:rPr>
          <w:rFonts w:eastAsia="Times New Roman" w:cs="Times New Roman"/>
          <w:b/>
          <w:bCs/>
          <w:i/>
          <w:iCs/>
          <w:color w:val="000000"/>
          <w:szCs w:val="24"/>
          <w:lang w:eastAsia="es-CO"/>
        </w:rPr>
        <w:t> </w:t>
      </w:r>
    </w:p>
    <w:p w14:paraId="56964623" w14:textId="77777777" w:rsidR="008D17CF" w:rsidRPr="008D17CF" w:rsidRDefault="008D17CF" w:rsidP="008D17CF">
      <w:pPr>
        <w:spacing w:after="0" w:line="360" w:lineRule="auto"/>
        <w:ind w:left="180"/>
        <w:jc w:val="both"/>
        <w:rPr>
          <w:rFonts w:eastAsia="Times New Roman" w:cs="Times New Roman"/>
          <w:color w:val="000000"/>
          <w:szCs w:val="24"/>
          <w:lang w:eastAsia="es-CO"/>
        </w:rPr>
      </w:pPr>
      <w:r w:rsidRPr="008D17CF">
        <w:rPr>
          <w:rFonts w:eastAsia="Times New Roman" w:cs="Times New Roman"/>
          <w:b/>
          <w:bCs/>
          <w:i/>
          <w:iCs/>
          <w:color w:val="000000"/>
          <w:szCs w:val="24"/>
          <w:lang w:eastAsia="es-CO"/>
        </w:rPr>
        <w:t>“</w:t>
      </w:r>
      <w:hyperlink r:id="rId10" w:tooltip="Estatuto Tributario CETA" w:history="1">
        <w:r w:rsidRPr="008D17CF">
          <w:rPr>
            <w:rFonts w:eastAsia="Times New Roman" w:cs="Times New Roman"/>
            <w:b/>
            <w:bCs/>
            <w:i/>
            <w:iCs/>
            <w:color w:val="0089E1"/>
            <w:szCs w:val="24"/>
            <w:u w:val="single"/>
            <w:lang w:eastAsia="es-CO"/>
          </w:rPr>
          <w:t>Artículo 572</w:t>
        </w:r>
      </w:hyperlink>
      <w:r w:rsidRPr="008D17CF">
        <w:rPr>
          <w:rFonts w:eastAsia="Times New Roman" w:cs="Times New Roman"/>
          <w:b/>
          <w:bCs/>
          <w:i/>
          <w:iCs/>
          <w:color w:val="000000"/>
          <w:szCs w:val="24"/>
          <w:lang w:eastAsia="es-CO"/>
        </w:rPr>
        <w:t>. Representantes que deben cumplir deberes formales. </w:t>
      </w:r>
      <w:r w:rsidRPr="008D17CF">
        <w:rPr>
          <w:rFonts w:eastAsia="Times New Roman" w:cs="Times New Roman"/>
          <w:i/>
          <w:iCs/>
          <w:color w:val="000000"/>
          <w:szCs w:val="24"/>
          <w:lang w:eastAsia="es-CO"/>
        </w:rPr>
        <w:t>Deben cumplir los deberes formales de sus representados, sin perjuicio de lo dispuesto en otras normas:</w:t>
      </w:r>
    </w:p>
    <w:p w14:paraId="5E0D99BC" w14:textId="77777777" w:rsidR="008D17CF" w:rsidRPr="008D17CF" w:rsidRDefault="008D17CF" w:rsidP="008D17CF">
      <w:pPr>
        <w:spacing w:after="0" w:line="360" w:lineRule="auto"/>
        <w:ind w:left="180"/>
        <w:jc w:val="both"/>
        <w:rPr>
          <w:rFonts w:eastAsia="Times New Roman" w:cs="Times New Roman"/>
          <w:color w:val="000000"/>
          <w:szCs w:val="24"/>
          <w:lang w:eastAsia="es-CO"/>
        </w:rPr>
      </w:pPr>
      <w:r w:rsidRPr="008D17CF">
        <w:rPr>
          <w:rFonts w:eastAsia="Times New Roman" w:cs="Times New Roman"/>
          <w:i/>
          <w:iCs/>
          <w:color w:val="000000"/>
          <w:szCs w:val="24"/>
          <w:lang w:eastAsia="es-CO"/>
        </w:rPr>
        <w:t> </w:t>
      </w:r>
    </w:p>
    <w:p w14:paraId="4ACFA626" w14:textId="77777777" w:rsidR="008D17CF" w:rsidRPr="008D17CF" w:rsidRDefault="008D17CF" w:rsidP="008D17CF">
      <w:pPr>
        <w:spacing w:after="0" w:line="360" w:lineRule="auto"/>
        <w:ind w:left="180"/>
        <w:jc w:val="both"/>
        <w:rPr>
          <w:rFonts w:eastAsia="Times New Roman" w:cs="Times New Roman"/>
          <w:color w:val="000000"/>
          <w:szCs w:val="24"/>
          <w:lang w:eastAsia="es-CO"/>
        </w:rPr>
      </w:pPr>
      <w:r w:rsidRPr="008D17CF">
        <w:rPr>
          <w:rFonts w:eastAsia="Times New Roman" w:cs="Times New Roman"/>
          <w:i/>
          <w:iCs/>
          <w:color w:val="000000"/>
          <w:szCs w:val="24"/>
          <w:lang w:eastAsia="es-CO"/>
        </w:rPr>
        <w:t>(…)</w:t>
      </w:r>
    </w:p>
    <w:p w14:paraId="1B25EC61" w14:textId="77777777" w:rsidR="008D17CF" w:rsidRPr="008D17CF" w:rsidRDefault="008D17CF" w:rsidP="008D17CF">
      <w:pPr>
        <w:spacing w:after="0" w:line="360" w:lineRule="auto"/>
        <w:ind w:left="180"/>
        <w:jc w:val="both"/>
        <w:rPr>
          <w:rFonts w:eastAsia="Times New Roman" w:cs="Times New Roman"/>
          <w:color w:val="000000"/>
          <w:szCs w:val="24"/>
          <w:lang w:eastAsia="es-CO"/>
        </w:rPr>
      </w:pPr>
      <w:r w:rsidRPr="008D17CF">
        <w:rPr>
          <w:rFonts w:eastAsia="Times New Roman" w:cs="Times New Roman"/>
          <w:i/>
          <w:iCs/>
          <w:color w:val="000000"/>
          <w:szCs w:val="24"/>
          <w:lang w:eastAsia="es-CO"/>
        </w:rPr>
        <w:t>c. </w:t>
      </w:r>
      <w:r w:rsidRPr="008D17CF">
        <w:rPr>
          <w:rFonts w:eastAsia="Times New Roman" w:cs="Times New Roman"/>
          <w:i/>
          <w:iCs/>
          <w:color w:val="000000"/>
          <w:szCs w:val="24"/>
          <w:u w:val="single"/>
          <w:lang w:eastAsia="es-CO"/>
        </w:rPr>
        <w:t>Los gerentes, administradores y en general los representantes legales, por las personas jurídicas y sociedades de hecho. Esta responsabilidad puede ser delegada en funcionarios de la empresa designados para el efecto, en cuyo caso se deberá informar de tal hecho a la administración de Impuestos y Aduanas correspondiente</w:t>
      </w:r>
      <w:r w:rsidRPr="008D17CF">
        <w:rPr>
          <w:rFonts w:eastAsia="Times New Roman" w:cs="Times New Roman"/>
          <w:i/>
          <w:iCs/>
          <w:color w:val="000000"/>
          <w:szCs w:val="24"/>
          <w:lang w:eastAsia="es-CO"/>
        </w:rPr>
        <w:t> (…)”. </w:t>
      </w:r>
      <w:r w:rsidRPr="008D17CF">
        <w:rPr>
          <w:rFonts w:eastAsia="Times New Roman" w:cs="Times New Roman"/>
          <w:color w:val="000000"/>
          <w:szCs w:val="24"/>
          <w:lang w:eastAsia="es-CO"/>
        </w:rPr>
        <w:t>(Subrayado fuera de texto original).</w:t>
      </w:r>
    </w:p>
    <w:p w14:paraId="18EA0049"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 </w:t>
      </w:r>
    </w:p>
    <w:p w14:paraId="6419A917" w14:textId="77777777" w:rsidR="008D17CF" w:rsidRPr="008D17CF" w:rsidRDefault="008D17CF" w:rsidP="008D17CF">
      <w:pPr>
        <w:spacing w:after="0" w:line="360" w:lineRule="auto"/>
        <w:jc w:val="both"/>
        <w:rPr>
          <w:rFonts w:eastAsia="Times New Roman" w:cs="Times New Roman"/>
          <w:b/>
          <w:bCs/>
          <w:color w:val="000000"/>
          <w:szCs w:val="24"/>
          <w:lang w:eastAsia="es-CO"/>
        </w:rPr>
      </w:pPr>
      <w:r w:rsidRPr="008D17CF">
        <w:rPr>
          <w:rFonts w:eastAsia="Times New Roman" w:cs="Times New Roman"/>
          <w:b/>
          <w:bCs/>
          <w:color w:val="000000"/>
          <w:szCs w:val="24"/>
          <w:lang w:eastAsia="es-CO"/>
        </w:rPr>
        <w:t xml:space="preserve">Con base en lo expuesto y, para efectos de la consulta planteada, los gerentes, administradores y, en general, los representantes legales son los responsables de la suscripción de las declaraciones tributarias de las personas jurídicas que representan, </w:t>
      </w:r>
      <w:r w:rsidRPr="008D17CF">
        <w:rPr>
          <w:rFonts w:eastAsia="Times New Roman" w:cs="Times New Roman"/>
          <w:b/>
          <w:bCs/>
          <w:color w:val="000000"/>
          <w:szCs w:val="24"/>
          <w:highlight w:val="green"/>
          <w:lang w:eastAsia="es-CO"/>
        </w:rPr>
        <w:t>sin perjuicio de que dicha responsabilidad sea delegada en funcionarios de la empresa.</w:t>
      </w:r>
    </w:p>
    <w:p w14:paraId="4778B684"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 </w:t>
      </w:r>
    </w:p>
    <w:p w14:paraId="7CFEB3A6"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En virtud de lo anterior, la delegación descrita debe ser informada mediante oficio a la Administración Tributaria en el marco del procedimiento de actualización del Registro Único Tributario- RUT de la persona jurídica y del responsable del cumplimiento de la obligación formal de declarar para la asignación de la facultad en comento. El procedimiento expuesto se desarrolla en los artículos 1.6.1.2.6. y 1.6.1.13.2.5. del Decreto 1625 de 2016, de manera que, atendiendo el cumplimiento de dichos supuestos, la Administración Tributaria registrará el código 13 alusivo a “</w:t>
      </w:r>
      <w:r w:rsidRPr="008D17CF">
        <w:rPr>
          <w:rFonts w:eastAsia="Times New Roman" w:cs="Times New Roman"/>
          <w:i/>
          <w:iCs/>
          <w:color w:val="000000"/>
          <w:szCs w:val="24"/>
          <w:lang w:eastAsia="es-CO"/>
        </w:rPr>
        <w:t>funcionario delegado para cumplir con deberes formales” </w:t>
      </w:r>
      <w:r w:rsidRPr="008D17CF">
        <w:rPr>
          <w:rFonts w:eastAsia="Times New Roman" w:cs="Times New Roman"/>
          <w:color w:val="000000"/>
          <w:szCs w:val="24"/>
          <w:lang w:eastAsia="es-CO"/>
        </w:rPr>
        <w:t>en el renglón 98 de la página tres del RUT de la persona jurídica.</w:t>
      </w:r>
    </w:p>
    <w:p w14:paraId="523EF55E"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 </w:t>
      </w:r>
    </w:p>
    <w:p w14:paraId="5457FFF9"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Ahora bien, tratándose de mandatarios o apoderados generales o especiales para la suscripción y presentación de las declaraciones tributarias, este Despacho cita lo expuesto en el Oficio 018752 de 2016, anexo en esta respuesta, para efectos de su entendimiento.</w:t>
      </w:r>
    </w:p>
    <w:p w14:paraId="4F03D1B7"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 </w:t>
      </w:r>
    </w:p>
    <w:p w14:paraId="61DE1A0C" w14:textId="1A047443"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 Atentamente,</w:t>
      </w:r>
    </w:p>
    <w:p w14:paraId="57AE0A8F" w14:textId="77777777" w:rsidR="008D17CF" w:rsidRDefault="008D17CF" w:rsidP="008D17CF">
      <w:pPr>
        <w:spacing w:after="0" w:line="360" w:lineRule="auto"/>
        <w:jc w:val="both"/>
        <w:rPr>
          <w:rFonts w:eastAsia="Times New Roman" w:cs="Times New Roman"/>
          <w:b/>
          <w:bCs/>
          <w:color w:val="000000"/>
          <w:szCs w:val="24"/>
          <w:lang w:eastAsia="es-CO"/>
        </w:rPr>
      </w:pPr>
    </w:p>
    <w:p w14:paraId="10441DC9" w14:textId="4AD7E465"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b/>
          <w:bCs/>
          <w:color w:val="000000"/>
          <w:szCs w:val="24"/>
          <w:lang w:eastAsia="es-CO"/>
        </w:rPr>
        <w:t>NICOLÁS BERNAL ABELLA</w:t>
      </w:r>
    </w:p>
    <w:p w14:paraId="2037531B"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Subdirector de Gestión Normativa y Doctrina (E)</w:t>
      </w:r>
    </w:p>
    <w:p w14:paraId="057BF74C"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Dirección de Gestión Jurídica</w:t>
      </w:r>
    </w:p>
    <w:p w14:paraId="7FCAD2D5" w14:textId="77777777" w:rsidR="008D17CF" w:rsidRPr="008D17CF" w:rsidRDefault="008D17CF" w:rsidP="008D17CF">
      <w:pPr>
        <w:spacing w:after="0" w:line="360" w:lineRule="auto"/>
        <w:jc w:val="both"/>
        <w:rPr>
          <w:rFonts w:eastAsia="Times New Roman" w:cs="Times New Roman"/>
          <w:color w:val="000000"/>
          <w:szCs w:val="24"/>
          <w:lang w:eastAsia="es-CO"/>
        </w:rPr>
      </w:pPr>
      <w:r w:rsidRPr="008D17CF">
        <w:rPr>
          <w:rFonts w:eastAsia="Times New Roman" w:cs="Times New Roman"/>
          <w:color w:val="000000"/>
          <w:szCs w:val="24"/>
          <w:lang w:eastAsia="es-CO"/>
        </w:rPr>
        <w:t>UAE- Dirección de Impuestos y Aduanas Nacionales</w:t>
      </w:r>
    </w:p>
    <w:p w14:paraId="2BF4BF70" w14:textId="77777777" w:rsidR="007F5CC8" w:rsidRPr="008D17CF" w:rsidRDefault="007F5CC8" w:rsidP="008D17CF">
      <w:pPr>
        <w:spacing w:line="360" w:lineRule="auto"/>
        <w:rPr>
          <w:rFonts w:cs="Times New Roman"/>
          <w:szCs w:val="24"/>
        </w:rPr>
      </w:pPr>
    </w:p>
    <w:sectPr w:rsidR="007F5CC8" w:rsidRPr="008D17CF"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CF"/>
    <w:rsid w:val="000F3837"/>
    <w:rsid w:val="00114AAD"/>
    <w:rsid w:val="001E311E"/>
    <w:rsid w:val="00434AE6"/>
    <w:rsid w:val="007F5CC8"/>
    <w:rsid w:val="008779BE"/>
    <w:rsid w:val="008D17CF"/>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6260"/>
  <w15:chartTrackingRefBased/>
  <w15:docId w15:val="{242A6534-B176-45C0-BF5F-5F588717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0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0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07" TargetMode="External"/><Relationship Id="rId11" Type="http://schemas.openxmlformats.org/officeDocument/2006/relationships/fontTable" Target="fontTable.xml"/><Relationship Id="rId5" Type="http://schemas.openxmlformats.org/officeDocument/2006/relationships/hyperlink" Target="https://www.ceta.org.co/html/vista_de_un_articulo.asp?Norma=706" TargetMode="External"/><Relationship Id="rId10" Type="http://schemas.openxmlformats.org/officeDocument/2006/relationships/hyperlink" Target="https://www.ceta.org.co/html/vista_de_un_articulo.asp?Norma=706" TargetMode="External"/><Relationship Id="rId4" Type="http://schemas.openxmlformats.org/officeDocument/2006/relationships/hyperlink" Target="https://www.ceta.org.co/html/vista_de_un_articulo.asp?Norma=705" TargetMode="External"/><Relationship Id="rId9" Type="http://schemas.openxmlformats.org/officeDocument/2006/relationships/hyperlink" Target="https://www.ceta.org.co/html/vista_de_un_articulo.asp?Norma=7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747</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2021-11-24T18:05:00Z</dcterms:created>
  <dcterms:modified xsi:type="dcterms:W3CDTF">2021-11-24T19:40:00Z</dcterms:modified>
</cp:coreProperties>
</file>